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C5" w:rsidRPr="007A5CC5" w:rsidRDefault="007A5CC5" w:rsidP="007A5CC5">
      <w:pPr>
        <w:pBdr>
          <w:top w:val="single" w:sz="4" w:space="1" w:color="auto"/>
        </w:pBdr>
        <w:rPr>
          <w:rFonts w:cs="Arial"/>
        </w:rPr>
      </w:pPr>
    </w:p>
    <w:p w:rsidR="007A5CC5" w:rsidRPr="007A5CC5" w:rsidRDefault="007A5CC5" w:rsidP="007A5CC5">
      <w:pPr>
        <w:pBdr>
          <w:top w:val="single" w:sz="4" w:space="1" w:color="auto"/>
        </w:pBdr>
        <w:rPr>
          <w:rFonts w:cs="Arial"/>
        </w:rPr>
      </w:pPr>
      <w:r w:rsidRPr="007A5CC5">
        <w:rPr>
          <w:rFonts w:cs="Arial"/>
          <w:b/>
        </w:rPr>
        <w:t>Entity:</w:t>
      </w:r>
      <w:r w:rsidRPr="007A5CC5">
        <w:rPr>
          <w:rFonts w:cs="Arial"/>
        </w:rPr>
        <w:tab/>
      </w:r>
      <w:r w:rsidRPr="007A5CC5">
        <w:rPr>
          <w:rFonts w:cs="Arial"/>
        </w:rPr>
        <w:tab/>
        <w:t>[name] Superannuation Fund</w:t>
      </w:r>
    </w:p>
    <w:p w:rsidR="007A5CC5" w:rsidRPr="007A5CC5" w:rsidRDefault="007A5CC5" w:rsidP="007A5CC5">
      <w:pPr>
        <w:pBdr>
          <w:top w:val="single" w:sz="4" w:space="1" w:color="auto"/>
        </w:pBdr>
        <w:rPr>
          <w:rFonts w:cs="Arial"/>
        </w:rPr>
      </w:pPr>
      <w:r w:rsidRPr="007A5CC5">
        <w:rPr>
          <w:rFonts w:cs="Arial"/>
          <w:b/>
        </w:rPr>
        <w:t>RE:</w:t>
      </w:r>
      <w:r w:rsidRPr="007A5CC5">
        <w:rPr>
          <w:rFonts w:cs="Arial"/>
        </w:rPr>
        <w:tab/>
      </w:r>
      <w:r w:rsidRPr="007A5CC5">
        <w:rPr>
          <w:rFonts w:cs="Arial"/>
        </w:rPr>
        <w:tab/>
        <w:t>[name/ details of collectible]</w:t>
      </w:r>
    </w:p>
    <w:p w:rsidR="007A5CC5" w:rsidRPr="007A5CC5" w:rsidRDefault="007A5CC5" w:rsidP="007A5CC5">
      <w:pPr>
        <w:pBdr>
          <w:top w:val="single" w:sz="4" w:space="1" w:color="auto"/>
        </w:pBdr>
        <w:rPr>
          <w:rFonts w:cs="Arial"/>
        </w:rPr>
      </w:pPr>
    </w:p>
    <w:p w:rsidR="00D7002F" w:rsidRDefault="007A5CC5" w:rsidP="007A5CC5">
      <w:pPr>
        <w:pBdr>
          <w:top w:val="single" w:sz="4" w:space="1" w:color="auto"/>
        </w:pBdr>
        <w:rPr>
          <w:rFonts w:cs="Arial"/>
        </w:rPr>
      </w:pPr>
      <w:r w:rsidRPr="007A5CC5">
        <w:rPr>
          <w:rFonts w:cs="Arial"/>
        </w:rPr>
        <w:t xml:space="preserve">I / </w:t>
      </w:r>
      <w:r w:rsidR="00D7002F" w:rsidRPr="007A5CC5">
        <w:rPr>
          <w:rFonts w:cs="Arial"/>
        </w:rPr>
        <w:t xml:space="preserve">We the trustees of the </w:t>
      </w:r>
      <w:r w:rsidRPr="007A5CC5">
        <w:rPr>
          <w:rFonts w:cs="Arial"/>
        </w:rPr>
        <w:t>[name] Superannuation Fund</w:t>
      </w:r>
      <w:r w:rsidR="00D7002F" w:rsidRPr="007A5CC5">
        <w:rPr>
          <w:rFonts w:cs="Arial"/>
        </w:rPr>
        <w:t xml:space="preserve"> declare t</w:t>
      </w:r>
      <w:r w:rsidRPr="007A5CC5">
        <w:rPr>
          <w:rFonts w:cs="Arial"/>
        </w:rPr>
        <w:t xml:space="preserve">hat the collectible investment named above </w:t>
      </w:r>
      <w:r w:rsidR="00D7002F" w:rsidRPr="007A5CC5">
        <w:rPr>
          <w:rFonts w:cs="Arial"/>
        </w:rPr>
        <w:t>complies with the new rules set out in Regulation 13.18AA SIS Act as detailed below:</w:t>
      </w:r>
    </w:p>
    <w:p w:rsidR="007A5CC5" w:rsidRPr="007A5CC5" w:rsidRDefault="007A5CC5" w:rsidP="007A5CC5">
      <w:pPr>
        <w:pBdr>
          <w:top w:val="single" w:sz="4" w:space="1" w:color="auto"/>
        </w:pBdr>
        <w:rPr>
          <w:rFonts w:cs="Arial"/>
        </w:rPr>
      </w:pPr>
    </w:p>
    <w:p w:rsidR="00D7002F" w:rsidRPr="007A5CC5" w:rsidRDefault="00D7002F" w:rsidP="002B1351">
      <w:pPr>
        <w:pStyle w:val="ListParagraph"/>
        <w:numPr>
          <w:ilvl w:val="0"/>
          <w:numId w:val="1"/>
        </w:numPr>
        <w:spacing w:after="0"/>
        <w:ind w:left="714" w:hanging="357"/>
        <w:rPr>
          <w:rFonts w:cs="Arial"/>
        </w:rPr>
      </w:pPr>
      <w:r w:rsidRPr="007A5CC5">
        <w:rPr>
          <w:rFonts w:cs="Arial"/>
        </w:rPr>
        <w:t>The collectible asset is not leased to a related party</w:t>
      </w:r>
      <w:r w:rsidRPr="007A5CC5">
        <w:rPr>
          <w:rFonts w:cs="Arial"/>
        </w:rPr>
        <w:tab/>
      </w:r>
      <w:r w:rsidRPr="007A5CC5">
        <w:rPr>
          <w:rFonts w:cs="Arial"/>
        </w:rPr>
        <w:tab/>
      </w:r>
      <w:r w:rsidRPr="007A5CC5">
        <w:rPr>
          <w:rFonts w:cs="Arial"/>
        </w:rPr>
        <w:tab/>
      </w:r>
      <w:r w:rsidRPr="007A5CC5">
        <w:rPr>
          <w:rFonts w:cs="Arial"/>
        </w:rPr>
        <w:tab/>
      </w:r>
      <w:r w:rsidRPr="007A5CC5">
        <w:rPr>
          <w:rFonts w:cs="Arial"/>
        </w:rPr>
        <w:tab/>
      </w:r>
      <w:r w:rsidRPr="007A5CC5">
        <w:rPr>
          <w:rFonts w:cs="Arial"/>
          <w:sz w:val="40"/>
          <w:szCs w:val="40"/>
        </w:rPr>
        <w:t>□</w:t>
      </w:r>
    </w:p>
    <w:p w:rsidR="00D7002F" w:rsidRPr="007A5CC5" w:rsidRDefault="00D7002F" w:rsidP="002B1351">
      <w:pPr>
        <w:pStyle w:val="ListParagraph"/>
        <w:numPr>
          <w:ilvl w:val="0"/>
          <w:numId w:val="1"/>
        </w:numPr>
        <w:spacing w:after="0"/>
        <w:ind w:left="714" w:hanging="357"/>
        <w:rPr>
          <w:rFonts w:cs="Arial"/>
        </w:rPr>
      </w:pPr>
      <w:r w:rsidRPr="007A5CC5">
        <w:rPr>
          <w:rFonts w:cs="Arial"/>
        </w:rPr>
        <w:t xml:space="preserve">The collectible asset is not stored </w:t>
      </w:r>
      <w:r w:rsidR="00931896" w:rsidRPr="007A5CC5">
        <w:rPr>
          <w:rFonts w:cs="Arial"/>
        </w:rPr>
        <w:t>at</w:t>
      </w:r>
      <w:r w:rsidRPr="007A5CC5">
        <w:rPr>
          <w:rFonts w:cs="Arial"/>
        </w:rPr>
        <w:t xml:space="preserve"> the private residence of a related party of the Fund</w:t>
      </w:r>
      <w:r w:rsidR="00931896" w:rsidRPr="007A5CC5">
        <w:rPr>
          <w:rFonts w:cs="Arial"/>
        </w:rPr>
        <w:tab/>
      </w:r>
      <w:r w:rsidRPr="007A5CC5">
        <w:rPr>
          <w:rFonts w:cs="Arial"/>
          <w:sz w:val="40"/>
          <w:szCs w:val="40"/>
        </w:rPr>
        <w:t>□</w:t>
      </w:r>
    </w:p>
    <w:p w:rsidR="00D7002F" w:rsidRPr="007A5CC5" w:rsidRDefault="00D7002F" w:rsidP="002B1351">
      <w:pPr>
        <w:pStyle w:val="ListParagraph"/>
        <w:numPr>
          <w:ilvl w:val="0"/>
          <w:numId w:val="1"/>
        </w:numPr>
        <w:spacing w:after="0" w:line="240" w:lineRule="auto"/>
        <w:ind w:left="714" w:hanging="357"/>
        <w:rPr>
          <w:rFonts w:cs="Arial"/>
        </w:rPr>
      </w:pPr>
      <w:r w:rsidRPr="007A5CC5">
        <w:rPr>
          <w:rFonts w:cs="Arial"/>
        </w:rPr>
        <w:t xml:space="preserve">The decision on storage of the collectible has been </w:t>
      </w:r>
      <w:r w:rsidR="007A5CC5">
        <w:rPr>
          <w:rFonts w:cs="Arial"/>
        </w:rPr>
        <w:t xml:space="preserve">documented </w:t>
      </w:r>
      <w:r w:rsidR="007A5CC5" w:rsidRPr="000036DD">
        <w:rPr>
          <w:rFonts w:cs="Arial"/>
          <w:sz w:val="20"/>
          <w:szCs w:val="20"/>
        </w:rPr>
        <w:t>(copy attached)</w:t>
      </w:r>
      <w:r w:rsidRPr="000036DD">
        <w:rPr>
          <w:rFonts w:cs="Arial"/>
          <w:sz w:val="20"/>
          <w:szCs w:val="20"/>
        </w:rPr>
        <w:tab/>
      </w:r>
      <w:r w:rsidR="00931896" w:rsidRPr="007A5CC5">
        <w:rPr>
          <w:rFonts w:cs="Arial"/>
        </w:rPr>
        <w:tab/>
      </w:r>
      <w:r w:rsidRPr="007A5CC5">
        <w:rPr>
          <w:rFonts w:cs="Arial"/>
          <w:sz w:val="40"/>
          <w:szCs w:val="40"/>
        </w:rPr>
        <w:t>□</w:t>
      </w:r>
    </w:p>
    <w:p w:rsidR="00D7002F" w:rsidRPr="002B1351" w:rsidRDefault="002B1351" w:rsidP="002B1351">
      <w:pPr>
        <w:pStyle w:val="ListParagraph"/>
        <w:numPr>
          <w:ilvl w:val="0"/>
          <w:numId w:val="1"/>
        </w:numPr>
        <w:spacing w:after="0" w:line="240" w:lineRule="auto"/>
        <w:ind w:left="714" w:hanging="357"/>
        <w:rPr>
          <w:rFonts w:cs="Arial"/>
        </w:rPr>
      </w:pPr>
      <w:r>
        <w:rPr>
          <w:rFonts w:cs="Arial"/>
        </w:rPr>
        <w:t>The collectible asset is</w:t>
      </w:r>
      <w:r w:rsidR="00D7002F" w:rsidRPr="007A5CC5">
        <w:rPr>
          <w:rFonts w:cs="Arial"/>
        </w:rPr>
        <w:t xml:space="preserve"> insured in the Fund’s name </w:t>
      </w:r>
      <w:r w:rsidRPr="007A5CC5">
        <w:rPr>
          <w:rFonts w:cs="Arial"/>
        </w:rPr>
        <w:t>w</w:t>
      </w:r>
      <w:r>
        <w:rPr>
          <w:rFonts w:cs="Arial"/>
        </w:rPr>
        <w:t>ithin 7 days of its acquisition</w:t>
      </w:r>
      <w:r>
        <w:rPr>
          <w:rFonts w:cs="Arial"/>
        </w:rPr>
        <w:tab/>
      </w:r>
      <w:r w:rsidR="00D7002F" w:rsidRPr="002B1351">
        <w:rPr>
          <w:rFonts w:cs="Arial"/>
          <w:sz w:val="40"/>
          <w:szCs w:val="40"/>
        </w:rPr>
        <w:t>□</w:t>
      </w:r>
    </w:p>
    <w:p w:rsidR="00D7002F" w:rsidRPr="000036DD" w:rsidRDefault="00D7002F" w:rsidP="002B1351">
      <w:pPr>
        <w:pStyle w:val="ListParagraph"/>
        <w:numPr>
          <w:ilvl w:val="0"/>
          <w:numId w:val="1"/>
        </w:numPr>
        <w:spacing w:after="0"/>
        <w:ind w:left="714" w:hanging="357"/>
        <w:rPr>
          <w:rFonts w:cs="Arial"/>
        </w:rPr>
      </w:pPr>
      <w:r w:rsidRPr="007A5CC5">
        <w:rPr>
          <w:rFonts w:cs="Arial"/>
        </w:rPr>
        <w:t xml:space="preserve">The collectible asset is not used by any related party </w:t>
      </w:r>
      <w:r w:rsidRPr="002B1351">
        <w:rPr>
          <w:rFonts w:cs="Arial"/>
          <w:u w:val="single"/>
        </w:rPr>
        <w:t>in any way</w:t>
      </w:r>
      <w:r w:rsidRPr="007A5CC5">
        <w:rPr>
          <w:rFonts w:cs="Arial"/>
        </w:rPr>
        <w:tab/>
      </w:r>
      <w:r w:rsidRPr="007A5CC5">
        <w:rPr>
          <w:rFonts w:cs="Arial"/>
        </w:rPr>
        <w:tab/>
      </w:r>
      <w:r w:rsidR="00931896" w:rsidRPr="007A5CC5">
        <w:rPr>
          <w:rFonts w:cs="Arial"/>
        </w:rPr>
        <w:tab/>
      </w:r>
      <w:r w:rsidRPr="007A5CC5">
        <w:rPr>
          <w:rFonts w:cs="Arial"/>
        </w:rPr>
        <w:tab/>
      </w:r>
      <w:r w:rsidRPr="007A5CC5">
        <w:rPr>
          <w:rFonts w:cs="Arial"/>
          <w:sz w:val="40"/>
          <w:szCs w:val="40"/>
        </w:rPr>
        <w:t>□</w:t>
      </w:r>
    </w:p>
    <w:p w:rsidR="000036DD" w:rsidRPr="002B1351" w:rsidRDefault="000036DD" w:rsidP="000036DD">
      <w:pPr>
        <w:pStyle w:val="ListParagraph"/>
        <w:spacing w:after="0"/>
        <w:ind w:left="714"/>
        <w:rPr>
          <w:rFonts w:cs="Arial"/>
        </w:rPr>
      </w:pPr>
    </w:p>
    <w:p w:rsidR="00931896" w:rsidRPr="007A5CC5" w:rsidRDefault="00D7002F" w:rsidP="000036DD">
      <w:pPr>
        <w:pStyle w:val="ListParagraph"/>
        <w:numPr>
          <w:ilvl w:val="0"/>
          <w:numId w:val="1"/>
        </w:numPr>
        <w:spacing w:after="0" w:line="240" w:lineRule="auto"/>
        <w:rPr>
          <w:rFonts w:cs="Arial"/>
        </w:rPr>
      </w:pPr>
      <w:r w:rsidRPr="007A5CC5">
        <w:rPr>
          <w:rFonts w:cs="Arial"/>
        </w:rPr>
        <w:t>Where the collectible asset was transferred to a related party of the Fund,</w:t>
      </w:r>
      <w:r w:rsidR="00931896" w:rsidRPr="007A5CC5">
        <w:rPr>
          <w:rFonts w:cs="Arial"/>
        </w:rPr>
        <w:t xml:space="preserve"> an </w:t>
      </w:r>
    </w:p>
    <w:p w:rsidR="00D7002F" w:rsidRPr="007A5CC5" w:rsidRDefault="00D7002F" w:rsidP="000036DD">
      <w:pPr>
        <w:spacing w:after="0" w:line="100" w:lineRule="atLeast"/>
        <w:ind w:firstLine="737"/>
        <w:rPr>
          <w:rFonts w:cs="Arial"/>
        </w:rPr>
      </w:pPr>
      <w:r w:rsidRPr="007A5CC5">
        <w:rPr>
          <w:rFonts w:cs="Arial"/>
        </w:rPr>
        <w:t xml:space="preserve"> </w:t>
      </w:r>
      <w:proofErr w:type="gramStart"/>
      <w:r w:rsidR="00931896" w:rsidRPr="002B1351">
        <w:rPr>
          <w:rFonts w:cs="Arial"/>
          <w:u w:val="single"/>
        </w:rPr>
        <w:t>independent</w:t>
      </w:r>
      <w:proofErr w:type="gramEnd"/>
      <w:r w:rsidR="00931896" w:rsidRPr="007A5CC5">
        <w:rPr>
          <w:rFonts w:cs="Arial"/>
        </w:rPr>
        <w:t xml:space="preserve"> </w:t>
      </w:r>
      <w:r w:rsidRPr="007A5CC5">
        <w:rPr>
          <w:rFonts w:cs="Arial"/>
        </w:rPr>
        <w:t>valuation was obtained to ensure the transfer was done at</w:t>
      </w:r>
      <w:r w:rsidR="000036DD">
        <w:rPr>
          <w:rFonts w:cs="Arial"/>
        </w:rPr>
        <w:t xml:space="preserve"> market value</w:t>
      </w:r>
      <w:r w:rsidR="00931896" w:rsidRPr="007A5CC5">
        <w:rPr>
          <w:rFonts w:cs="Arial"/>
        </w:rPr>
        <w:tab/>
      </w:r>
      <w:r w:rsidRPr="007A5CC5">
        <w:rPr>
          <w:rFonts w:cs="Arial"/>
          <w:sz w:val="40"/>
          <w:szCs w:val="40"/>
        </w:rPr>
        <w:t>□</w:t>
      </w:r>
    </w:p>
    <w:p w:rsidR="00931896" w:rsidRPr="000036DD" w:rsidRDefault="000036DD" w:rsidP="00931896">
      <w:pPr>
        <w:spacing w:after="0" w:line="240" w:lineRule="auto"/>
        <w:rPr>
          <w:rFonts w:cs="Arial"/>
          <w:sz w:val="20"/>
          <w:szCs w:val="20"/>
        </w:rPr>
      </w:pPr>
      <w:r>
        <w:rPr>
          <w:rFonts w:cs="Arial"/>
        </w:rPr>
        <w:tab/>
      </w:r>
      <w:r w:rsidRPr="000036DD">
        <w:rPr>
          <w:rFonts w:cs="Arial"/>
          <w:sz w:val="20"/>
          <w:szCs w:val="20"/>
        </w:rPr>
        <w:t>(</w:t>
      </w:r>
      <w:proofErr w:type="gramStart"/>
      <w:r w:rsidRPr="000036DD">
        <w:rPr>
          <w:rFonts w:cs="Arial"/>
          <w:sz w:val="20"/>
          <w:szCs w:val="20"/>
        </w:rPr>
        <w:t>copy</w:t>
      </w:r>
      <w:proofErr w:type="gramEnd"/>
      <w:r w:rsidRPr="000036DD">
        <w:rPr>
          <w:rFonts w:cs="Arial"/>
          <w:sz w:val="20"/>
          <w:szCs w:val="20"/>
        </w:rPr>
        <w:t xml:space="preserve"> of this valuation is attached to this declaration)</w:t>
      </w:r>
      <w:r w:rsidRPr="000036DD">
        <w:rPr>
          <w:rFonts w:cs="Arial"/>
          <w:sz w:val="20"/>
          <w:szCs w:val="20"/>
        </w:rPr>
        <w:tab/>
      </w:r>
      <w:r w:rsidRPr="000036DD">
        <w:rPr>
          <w:rFonts w:cs="Arial"/>
          <w:sz w:val="20"/>
          <w:szCs w:val="20"/>
        </w:rPr>
        <w:tab/>
      </w:r>
    </w:p>
    <w:p w:rsidR="007A5CC5" w:rsidRDefault="000036DD" w:rsidP="00931896">
      <w:pPr>
        <w:rPr>
          <w:rFonts w:cs="Arial"/>
        </w:rPr>
      </w:pPr>
      <w:r>
        <w:rPr>
          <w:rFonts w:cs="Arial"/>
        </w:rPr>
        <w:tab/>
      </w:r>
    </w:p>
    <w:p w:rsidR="00931896" w:rsidRDefault="00931896" w:rsidP="00931896">
      <w:pPr>
        <w:rPr>
          <w:rFonts w:cs="Arial"/>
        </w:rPr>
      </w:pPr>
      <w:r w:rsidRPr="007A5CC5">
        <w:rPr>
          <w:rFonts w:cs="Arial"/>
        </w:rPr>
        <w:t>I / We accept that InFocus Audits will rely on this Declaration for the purpose of their audit, and therefore indemnify them from any action or liability that may arise if this Declaration is proven to be false or incorrect.</w:t>
      </w:r>
    </w:p>
    <w:p w:rsidR="000036DD" w:rsidRPr="007A5CC5" w:rsidRDefault="000036DD" w:rsidP="00931896">
      <w:pPr>
        <w:rPr>
          <w:rFonts w:cs="Arial"/>
        </w:rPr>
      </w:pPr>
    </w:p>
    <w:p w:rsidR="00931896" w:rsidRPr="007A5CC5" w:rsidRDefault="00931896" w:rsidP="00931896">
      <w:pPr>
        <w:rPr>
          <w:rFonts w:cs="Arial"/>
          <w:b/>
        </w:rPr>
      </w:pPr>
      <w:r w:rsidRPr="007A5CC5">
        <w:rPr>
          <w:rFonts w:cs="Arial"/>
          <w:b/>
        </w:rPr>
        <w:t>Signed:</w:t>
      </w:r>
      <w:r w:rsidR="007A5CC5" w:rsidRPr="007A5CC5">
        <w:rPr>
          <w:rFonts w:cs="Arial"/>
          <w:b/>
        </w:rPr>
        <w:tab/>
      </w:r>
      <w:r w:rsidR="007A5CC5" w:rsidRPr="007A5CC5">
        <w:rPr>
          <w:rFonts w:cs="Arial"/>
          <w:b/>
        </w:rPr>
        <w:tab/>
      </w:r>
      <w:r w:rsidR="007A5CC5" w:rsidRPr="007A5CC5">
        <w:rPr>
          <w:rFonts w:cs="Arial"/>
          <w:b/>
        </w:rPr>
        <w:tab/>
      </w:r>
      <w:r w:rsidR="007A5CC5" w:rsidRPr="007A5CC5">
        <w:rPr>
          <w:rFonts w:cs="Arial"/>
          <w:b/>
        </w:rPr>
        <w:tab/>
      </w:r>
      <w:r w:rsidR="007A5CC5" w:rsidRPr="007A5CC5">
        <w:rPr>
          <w:rFonts w:cs="Arial"/>
          <w:b/>
        </w:rPr>
        <w:tab/>
      </w:r>
      <w:r w:rsidR="007A5CC5" w:rsidRPr="007A5CC5">
        <w:rPr>
          <w:rFonts w:cs="Arial"/>
          <w:b/>
        </w:rPr>
        <w:tab/>
        <w:t>Signed:</w:t>
      </w:r>
    </w:p>
    <w:p w:rsidR="00931896" w:rsidRPr="007A5CC5" w:rsidRDefault="00931896" w:rsidP="00931896">
      <w:pPr>
        <w:rPr>
          <w:rFonts w:cs="Arial"/>
        </w:rPr>
      </w:pPr>
    </w:p>
    <w:p w:rsidR="00931896" w:rsidRPr="007A5CC5" w:rsidRDefault="00931896" w:rsidP="00E0027B">
      <w:pPr>
        <w:spacing w:line="240" w:lineRule="auto"/>
        <w:rPr>
          <w:rFonts w:cs="Arial"/>
        </w:rPr>
      </w:pPr>
      <w:r w:rsidRPr="007A5CC5">
        <w:rPr>
          <w:rFonts w:cs="Arial"/>
        </w:rPr>
        <w:t>_____________________________</w:t>
      </w:r>
      <w:r w:rsidRPr="007A5CC5">
        <w:rPr>
          <w:rFonts w:cs="Arial"/>
        </w:rPr>
        <w:tab/>
      </w:r>
      <w:r w:rsidRPr="007A5CC5">
        <w:rPr>
          <w:rFonts w:cs="Arial"/>
        </w:rPr>
        <w:tab/>
        <w:t>_______________________________</w:t>
      </w:r>
      <w:r w:rsidRPr="007A5CC5">
        <w:rPr>
          <w:rFonts w:cs="Arial"/>
        </w:rPr>
        <w:tab/>
      </w:r>
    </w:p>
    <w:p w:rsidR="00E0027B" w:rsidRDefault="00E0027B" w:rsidP="00E0027B">
      <w:pPr>
        <w:spacing w:after="0" w:line="240" w:lineRule="auto"/>
        <w:rPr>
          <w:rFonts w:cs="Arial"/>
        </w:rPr>
      </w:pPr>
      <w:r>
        <w:rPr>
          <w:rFonts w:cs="Arial"/>
        </w:rPr>
        <w:t>[</w:t>
      </w:r>
      <w:proofErr w:type="gramStart"/>
      <w:r>
        <w:rPr>
          <w:rFonts w:cs="Arial"/>
        </w:rPr>
        <w:t>name</w:t>
      </w:r>
      <w:proofErr w:type="gramEnd"/>
      <w:r>
        <w:rPr>
          <w:rFonts w:cs="Arial"/>
        </w:rPr>
        <w:t>]</w:t>
      </w:r>
      <w:r>
        <w:rPr>
          <w:rFonts w:cs="Arial"/>
        </w:rPr>
        <w:tab/>
      </w:r>
      <w:r>
        <w:rPr>
          <w:rFonts w:cs="Arial"/>
        </w:rPr>
        <w:tab/>
      </w:r>
      <w:r>
        <w:rPr>
          <w:rFonts w:cs="Arial"/>
        </w:rPr>
        <w:tab/>
      </w:r>
      <w:r>
        <w:rPr>
          <w:rFonts w:cs="Arial"/>
        </w:rPr>
        <w:tab/>
      </w:r>
      <w:r>
        <w:rPr>
          <w:rFonts w:cs="Arial"/>
        </w:rPr>
        <w:tab/>
      </w:r>
      <w:r>
        <w:rPr>
          <w:rFonts w:cs="Arial"/>
        </w:rPr>
        <w:tab/>
        <w:t>[</w:t>
      </w:r>
      <w:proofErr w:type="gramStart"/>
      <w:r>
        <w:rPr>
          <w:rFonts w:cs="Arial"/>
        </w:rPr>
        <w:t>name</w:t>
      </w:r>
      <w:proofErr w:type="gramEnd"/>
      <w:r>
        <w:rPr>
          <w:rFonts w:cs="Arial"/>
        </w:rPr>
        <w:t>]</w:t>
      </w:r>
    </w:p>
    <w:p w:rsidR="00931896" w:rsidRPr="007A5CC5" w:rsidRDefault="00931896" w:rsidP="00E0027B">
      <w:pPr>
        <w:spacing w:after="0"/>
        <w:rPr>
          <w:rFonts w:cs="Arial"/>
        </w:rPr>
      </w:pPr>
      <w:r w:rsidRPr="007A5CC5">
        <w:rPr>
          <w:rFonts w:cs="Arial"/>
        </w:rPr>
        <w:t xml:space="preserve">Trustee </w:t>
      </w:r>
      <w:r w:rsidR="00E0027B">
        <w:rPr>
          <w:rFonts w:cs="Arial"/>
        </w:rPr>
        <w:t xml:space="preserve">/ </w:t>
      </w:r>
      <w:proofErr w:type="spellStart"/>
      <w:r w:rsidR="00E0027B">
        <w:rPr>
          <w:rFonts w:cs="Arial"/>
        </w:rPr>
        <w:t>DIrector</w:t>
      </w:r>
      <w:proofErr w:type="spellEnd"/>
      <w:r w:rsidRPr="007A5CC5">
        <w:rPr>
          <w:rFonts w:cs="Arial"/>
        </w:rPr>
        <w:tab/>
      </w:r>
      <w:r w:rsidRPr="007A5CC5">
        <w:rPr>
          <w:rFonts w:cs="Arial"/>
        </w:rPr>
        <w:tab/>
      </w:r>
      <w:r w:rsidRPr="007A5CC5">
        <w:rPr>
          <w:rFonts w:cs="Arial"/>
        </w:rPr>
        <w:tab/>
      </w:r>
      <w:r w:rsidRPr="007A5CC5">
        <w:rPr>
          <w:rFonts w:cs="Arial"/>
        </w:rPr>
        <w:tab/>
        <w:t>Trustee</w:t>
      </w:r>
      <w:r w:rsidR="00E0027B">
        <w:rPr>
          <w:rFonts w:cs="Arial"/>
        </w:rPr>
        <w:t xml:space="preserve"> / Director</w:t>
      </w:r>
    </w:p>
    <w:p w:rsidR="00931896" w:rsidRPr="007A5CC5" w:rsidRDefault="00931896" w:rsidP="00931896">
      <w:pPr>
        <w:rPr>
          <w:rFonts w:cs="Arial"/>
        </w:rPr>
      </w:pPr>
      <w:bookmarkStart w:id="0" w:name="_GoBack"/>
      <w:bookmarkEnd w:id="0"/>
    </w:p>
    <w:p w:rsidR="00931896" w:rsidRPr="007A5CC5" w:rsidRDefault="00931896" w:rsidP="00931896">
      <w:pPr>
        <w:rPr>
          <w:rFonts w:cs="Arial"/>
        </w:rPr>
      </w:pPr>
      <w:r w:rsidRPr="007A5CC5">
        <w:rPr>
          <w:rFonts w:cs="Arial"/>
        </w:rPr>
        <w:t>Date</w:t>
      </w:r>
      <w:proofErr w:type="gramStart"/>
      <w:r w:rsidRPr="007A5CC5">
        <w:rPr>
          <w:rFonts w:cs="Arial"/>
        </w:rPr>
        <w:t>:_</w:t>
      </w:r>
      <w:proofErr w:type="gramEnd"/>
      <w:r w:rsidRPr="007A5CC5">
        <w:rPr>
          <w:rFonts w:cs="Arial"/>
        </w:rPr>
        <w:t>____________</w:t>
      </w:r>
      <w:r w:rsidR="007A5CC5">
        <w:rPr>
          <w:rFonts w:cs="Arial"/>
        </w:rPr>
        <w:t>____</w:t>
      </w:r>
      <w:r w:rsidRPr="007A5CC5">
        <w:rPr>
          <w:rFonts w:cs="Arial"/>
        </w:rPr>
        <w:t>_____</w:t>
      </w:r>
      <w:r w:rsidR="007A5CC5">
        <w:rPr>
          <w:rFonts w:cs="Arial"/>
        </w:rPr>
        <w:tab/>
      </w:r>
      <w:r w:rsidR="007A5CC5">
        <w:rPr>
          <w:rFonts w:cs="Arial"/>
        </w:rPr>
        <w:tab/>
        <w:t>Date:________________________</w:t>
      </w:r>
    </w:p>
    <w:sectPr w:rsidR="00931896" w:rsidRPr="007A5CC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C5" w:rsidRDefault="007A5CC5" w:rsidP="007A5CC5">
      <w:pPr>
        <w:spacing w:after="0" w:line="240" w:lineRule="auto"/>
      </w:pPr>
      <w:r>
        <w:separator/>
      </w:r>
    </w:p>
  </w:endnote>
  <w:endnote w:type="continuationSeparator" w:id="0">
    <w:p w:rsidR="007A5CC5" w:rsidRDefault="007A5CC5" w:rsidP="007A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C5" w:rsidRDefault="007A5CC5" w:rsidP="007A5CC5">
      <w:pPr>
        <w:spacing w:after="0" w:line="240" w:lineRule="auto"/>
      </w:pPr>
      <w:r>
        <w:separator/>
      </w:r>
    </w:p>
  </w:footnote>
  <w:footnote w:type="continuationSeparator" w:id="0">
    <w:p w:rsidR="007A5CC5" w:rsidRDefault="007A5CC5" w:rsidP="007A5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C5" w:rsidRPr="007A5CC5" w:rsidRDefault="007A5CC5">
    <w:pPr>
      <w:pStyle w:val="Header"/>
      <w:rPr>
        <w:sz w:val="28"/>
        <w:szCs w:val="28"/>
      </w:rPr>
    </w:pPr>
    <w:r w:rsidRPr="007A5CC5">
      <w:rPr>
        <w:b/>
        <w:sz w:val="28"/>
        <w:szCs w:val="28"/>
      </w:rPr>
      <w:t>DECLARATION:</w:t>
    </w:r>
    <w:r w:rsidRPr="007A5CC5">
      <w:rPr>
        <w:sz w:val="28"/>
        <w:szCs w:val="28"/>
      </w:rPr>
      <w:t xml:space="preserve"> COLLECTIBLES ACQUIRED POST 1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153F5"/>
    <w:multiLevelType w:val="hybridMultilevel"/>
    <w:tmpl w:val="17B8467E"/>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2F"/>
    <w:rsid w:val="000036DD"/>
    <w:rsid w:val="001E0CDC"/>
    <w:rsid w:val="002B1351"/>
    <w:rsid w:val="003A3E81"/>
    <w:rsid w:val="004825F1"/>
    <w:rsid w:val="004C588A"/>
    <w:rsid w:val="005A2EF3"/>
    <w:rsid w:val="00783563"/>
    <w:rsid w:val="007A5CC5"/>
    <w:rsid w:val="007B7E17"/>
    <w:rsid w:val="00821769"/>
    <w:rsid w:val="0085320F"/>
    <w:rsid w:val="008C11F4"/>
    <w:rsid w:val="00931896"/>
    <w:rsid w:val="009E32D9"/>
    <w:rsid w:val="00AC114F"/>
    <w:rsid w:val="00B52464"/>
    <w:rsid w:val="00D7002F"/>
    <w:rsid w:val="00E0027B"/>
    <w:rsid w:val="00F50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896"/>
    <w:pPr>
      <w:ind w:left="720"/>
      <w:contextualSpacing/>
    </w:pPr>
  </w:style>
  <w:style w:type="paragraph" w:styleId="Header">
    <w:name w:val="header"/>
    <w:basedOn w:val="Normal"/>
    <w:link w:val="HeaderChar"/>
    <w:uiPriority w:val="99"/>
    <w:unhideWhenUsed/>
    <w:rsid w:val="007A5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CC5"/>
  </w:style>
  <w:style w:type="paragraph" w:styleId="Footer">
    <w:name w:val="footer"/>
    <w:basedOn w:val="Normal"/>
    <w:link w:val="FooterChar"/>
    <w:uiPriority w:val="99"/>
    <w:unhideWhenUsed/>
    <w:rsid w:val="007A5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896"/>
    <w:pPr>
      <w:ind w:left="720"/>
      <w:contextualSpacing/>
    </w:pPr>
  </w:style>
  <w:style w:type="paragraph" w:styleId="Header">
    <w:name w:val="header"/>
    <w:basedOn w:val="Normal"/>
    <w:link w:val="HeaderChar"/>
    <w:uiPriority w:val="99"/>
    <w:unhideWhenUsed/>
    <w:rsid w:val="007A5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CC5"/>
  </w:style>
  <w:style w:type="paragraph" w:styleId="Footer">
    <w:name w:val="footer"/>
    <w:basedOn w:val="Normal"/>
    <w:link w:val="FooterChar"/>
    <w:uiPriority w:val="99"/>
    <w:unhideWhenUsed/>
    <w:rsid w:val="007A5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523A-C733-47A1-BB0A-2D911796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Cherie</cp:lastModifiedBy>
  <cp:revision>3</cp:revision>
  <dcterms:created xsi:type="dcterms:W3CDTF">2013-05-07T10:53:00Z</dcterms:created>
  <dcterms:modified xsi:type="dcterms:W3CDTF">2013-07-08T13:01:00Z</dcterms:modified>
</cp:coreProperties>
</file>